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8B7C7C">
            <w:pPr>
              <w:pStyle w:val="TableParagraph"/>
              <w:spacing w:before="121"/>
              <w:ind w:left="4" w:right="106"/>
              <w:jc w:val="both"/>
              <w:rPr>
                <w:sz w:val="13"/>
              </w:rPr>
            </w:pPr>
            <w:r>
              <w:rPr>
                <w:color w:val="010101"/>
                <w:w w:val="104"/>
                <w:sz w:val="13"/>
              </w:rPr>
              <w:t xml:space="preserve">Fornitura di </w:t>
            </w:r>
            <w:r w:rsidR="00125062" w:rsidRPr="00125062">
              <w:rPr>
                <w:color w:val="010101"/>
                <w:w w:val="104"/>
                <w:sz w:val="13"/>
              </w:rPr>
              <w:t>n. 1.000 posti letto per Allievi Carabinieri, completi di materasso e guanciale ignifughi, per le esigenze dell’istituendo polo addestrativo presso la Caserma “Castrogiovanni” della Marina Militare di Taranto</w:t>
            </w:r>
            <w:r>
              <w:rPr>
                <w:color w:val="010101"/>
                <w:w w:val="104"/>
                <w:sz w:val="13"/>
              </w:rPr>
              <w:t>.</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125062">
            <w:pPr>
              <w:pStyle w:val="TableParagraph"/>
              <w:spacing w:before="120"/>
              <w:ind w:left="4"/>
              <w:rPr>
                <w:sz w:val="13"/>
              </w:rPr>
            </w:pPr>
            <w:r>
              <w:rPr>
                <w:color w:val="010101"/>
                <w:w w:val="104"/>
                <w:sz w:val="13"/>
              </w:rPr>
              <w:t>1501/</w:t>
            </w:r>
            <w:r w:rsidR="00125062">
              <w:rPr>
                <w:color w:val="010101"/>
                <w:w w:val="104"/>
                <w:sz w:val="13"/>
              </w:rPr>
              <w:t>7</w:t>
            </w:r>
            <w:r>
              <w:rPr>
                <w:color w:val="010101"/>
                <w:w w:val="104"/>
                <w:sz w:val="13"/>
              </w:rPr>
              <w:t>/</w:t>
            </w:r>
            <w:r w:rsidR="00125062">
              <w:rPr>
                <w:color w:val="010101"/>
                <w:w w:val="104"/>
                <w:sz w:val="13"/>
              </w:rPr>
              <w:t>20</w:t>
            </w:r>
            <w:r>
              <w:rPr>
                <w:color w:val="010101"/>
                <w:w w:val="104"/>
                <w:sz w:val="13"/>
              </w:rPr>
              <w:t>-2019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125062" w:rsidP="001A3FCB">
            <w:pPr>
              <w:pStyle w:val="TableParagraph"/>
              <w:spacing w:before="121"/>
              <w:ind w:left="4"/>
              <w:rPr>
                <w:color w:val="010101"/>
                <w:w w:val="104"/>
                <w:sz w:val="13"/>
              </w:rPr>
            </w:pPr>
            <w:r w:rsidRPr="00125062">
              <w:rPr>
                <w:color w:val="010101"/>
                <w:w w:val="104"/>
                <w:sz w:val="13"/>
              </w:rPr>
              <w:t>79531960F7</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125062" w:rsidP="00125062">
            <w:pPr>
              <w:pStyle w:val="TableParagraph"/>
              <w:spacing w:before="121"/>
              <w:ind w:left="4"/>
              <w:rPr>
                <w:color w:val="010101"/>
                <w:w w:val="104"/>
                <w:sz w:val="13"/>
              </w:rPr>
            </w:pPr>
            <w:r w:rsidRPr="00125062">
              <w:rPr>
                <w:color w:val="010101"/>
                <w:w w:val="104"/>
                <w:sz w:val="13"/>
              </w:rPr>
              <w:t>D59E19000950001</w:t>
            </w:r>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125062">
              <w:rPr>
                <w:i/>
                <w:w w:val="105"/>
                <w:sz w:val="14"/>
              </w:rPr>
              <w:t>,</w:t>
            </w:r>
            <w:r w:rsidR="00D56731">
              <w:rPr>
                <w:i/>
                <w:w w:val="105"/>
                <w:sz w:val="14"/>
              </w:rPr>
              <w:t xml:space="preserve"> c-ter)</w:t>
            </w:r>
            <w:r w:rsidR="00125062">
              <w:rPr>
                <w:i/>
                <w:w w:val="105"/>
                <w:sz w:val="14"/>
              </w:rPr>
              <w:t xml:space="preserve"> o c-qua</w:t>
            </w:r>
            <w:bookmarkStart w:id="0" w:name="_GoBack"/>
            <w:bookmarkEnd w:id="0"/>
            <w:r w:rsidR="00125062">
              <w:rPr>
                <w:i/>
                <w:w w:val="105"/>
                <w:sz w:val="14"/>
              </w:rPr>
              <w:t>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12506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r w:rsidR="00125062">
              <w:rPr>
                <w:i/>
                <w:w w:val="105"/>
                <w:sz w:val="14"/>
              </w:rPr>
              <w:t xml:space="preserve">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268C8">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268C8">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268C8">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268C8">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25062"/>
    <w:rsid w:val="001A3FCB"/>
    <w:rsid w:val="008B7C7C"/>
    <w:rsid w:val="009268C8"/>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6429</Words>
  <Characters>36648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5</cp:revision>
  <dcterms:created xsi:type="dcterms:W3CDTF">2019-05-10T07:09:00Z</dcterms:created>
  <dcterms:modified xsi:type="dcterms:W3CDTF">2019-06-27T06:27:00Z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