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6C5E5B">
            <w:pPr>
              <w:ind w:right="34"/>
              <w:jc w:val="both"/>
            </w:pPr>
            <w:r>
              <w:rPr>
                <w:szCs w:val="24"/>
              </w:rPr>
              <w:t xml:space="preserve">Procedura ristretta </w:t>
            </w:r>
            <w:r w:rsidR="008746DE">
              <w:rPr>
                <w:szCs w:val="24"/>
              </w:rPr>
              <w:t>accelerata per</w:t>
            </w:r>
            <w:r w:rsidR="00547244">
              <w:rPr>
                <w:szCs w:val="24"/>
              </w:rPr>
              <w:t xml:space="preserve"> la</w:t>
            </w:r>
            <w:r w:rsidR="008746DE">
              <w:rPr>
                <w:szCs w:val="24"/>
              </w:rPr>
              <w:t xml:space="preserve"> </w:t>
            </w:r>
            <w:r w:rsidR="00547244" w:rsidRPr="00547244">
              <w:rPr>
                <w:szCs w:val="24"/>
              </w:rPr>
              <w:t>f</w:t>
            </w:r>
            <w:r w:rsidR="00395E0E" w:rsidRPr="00395E0E">
              <w:rPr>
                <w:szCs w:val="24"/>
              </w:rPr>
              <w:t xml:space="preserve">ornitura di n. </w:t>
            </w:r>
            <w:r w:rsidR="006C5E5B">
              <w:rPr>
                <w:szCs w:val="24"/>
              </w:rPr>
              <w:t>24 motocicli in configurazione Radiomobile</w:t>
            </w:r>
            <w:r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6C5E5B">
            <w:pPr>
              <w:ind w:right="-143"/>
            </w:pPr>
            <w:r>
              <w:t>15</w:t>
            </w:r>
            <w:r w:rsidR="0023304C">
              <w:t>01</w:t>
            </w:r>
            <w:r>
              <w:t>/</w:t>
            </w:r>
            <w:r w:rsidR="006C5E5B">
              <w:t>6</w:t>
            </w:r>
            <w:r w:rsidR="0023304C">
              <w:t>/</w:t>
            </w:r>
            <w:r w:rsidR="006C5E5B">
              <w:t>22</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6C5E5B" w:rsidP="0023304C">
            <w:pPr>
              <w:ind w:right="-143"/>
            </w:pPr>
            <w:r>
              <w:t>7141626037</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bookmarkStart w:id="0" w:name="_GoBack"/>
            <w:bookmarkEnd w:id="0"/>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C5E5B"/>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F541-3C5F-445B-819C-76473FEF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6360</Words>
  <Characters>36253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9</cp:revision>
  <cp:lastPrinted>2017-02-02T15:12:00Z</cp:lastPrinted>
  <dcterms:created xsi:type="dcterms:W3CDTF">2016-11-07T13:27:00Z</dcterms:created>
  <dcterms:modified xsi:type="dcterms:W3CDTF">2017-07-25T11:03:00Z</dcterms:modified>
</cp:coreProperties>
</file>